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7C" w:rsidRDefault="0025727C" w:rsidP="0025727C">
      <w:pPr>
        <w:shd w:val="clear" w:color="auto" w:fill="FFFFFF"/>
        <w:spacing w:after="0" w:line="360" w:lineRule="atLeast"/>
        <w:rPr>
          <w:rFonts w:ascii="pt_serifregular" w:eastAsia="Times New Roman" w:hAnsi="pt_serifregular" w:cs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-538"/>
        <w:tblW w:w="9214" w:type="dxa"/>
        <w:tblLook w:val="01E0"/>
      </w:tblPr>
      <w:tblGrid>
        <w:gridCol w:w="9214"/>
      </w:tblGrid>
      <w:tr w:rsidR="0011588E" w:rsidRPr="00C32E9C" w:rsidTr="00AE1FED">
        <w:trPr>
          <w:trHeight w:val="2129"/>
        </w:trPr>
        <w:tc>
          <w:tcPr>
            <w:tcW w:w="9214" w:type="dxa"/>
          </w:tcPr>
          <w:p w:rsidR="0011588E" w:rsidRPr="00C32E9C" w:rsidRDefault="0011588E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</w:t>
            </w:r>
          </w:p>
          <w:p w:rsidR="0011588E" w:rsidRPr="00C32E9C" w:rsidRDefault="0011588E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588E" w:rsidRPr="00C32E9C" w:rsidRDefault="0011588E" w:rsidP="00AE1FED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«УТВЕРЖДАЮ»</w:t>
            </w:r>
          </w:p>
          <w:p w:rsidR="0011588E" w:rsidRPr="00C32E9C" w:rsidRDefault="0011588E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Директор </w:t>
            </w:r>
          </w:p>
          <w:p w:rsidR="0011588E" w:rsidRPr="00C32E9C" w:rsidRDefault="0011588E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МОУ «Средняя школа № 10</w:t>
            </w:r>
          </w:p>
          <w:p w:rsidR="0011588E" w:rsidRPr="00C32E9C" w:rsidRDefault="0011588E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имени А.С. Пушкина»</w:t>
            </w:r>
          </w:p>
          <w:p w:rsidR="0011588E" w:rsidRPr="00C32E9C" w:rsidRDefault="0011588E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______________ И. Б. Пепитаев</w:t>
            </w:r>
          </w:p>
          <w:p w:rsidR="0011588E" w:rsidRPr="00C32E9C" w:rsidRDefault="0011588E" w:rsidP="00AE1FED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588E" w:rsidRPr="00C32E9C" w:rsidRDefault="0011588E" w:rsidP="00AE1FE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0A6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C32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</w:t>
            </w:r>
            <w:r w:rsidR="000A69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31.08.2023 г.</w:t>
            </w:r>
          </w:p>
          <w:p w:rsidR="0011588E" w:rsidRPr="00C32E9C" w:rsidRDefault="0011588E" w:rsidP="00AE1FED">
            <w:pPr>
              <w:suppressAutoHyphens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25727C" w:rsidRDefault="0025727C" w:rsidP="0011588E">
      <w:pPr>
        <w:shd w:val="clear" w:color="auto" w:fill="FFFFFF"/>
        <w:spacing w:after="0" w:line="360" w:lineRule="atLeast"/>
        <w:rPr>
          <w:rFonts w:ascii="pt_serifregular" w:eastAsia="Times New Roman" w:hAnsi="pt_serifregular" w:cs="Times New Roman"/>
          <w:color w:val="000000"/>
          <w:sz w:val="27"/>
          <w:szCs w:val="27"/>
        </w:rPr>
      </w:pPr>
    </w:p>
    <w:p w:rsidR="0025727C" w:rsidRDefault="0025727C" w:rsidP="0025727C">
      <w:pPr>
        <w:shd w:val="clear" w:color="auto" w:fill="FFFFFF"/>
        <w:spacing w:after="0" w:line="360" w:lineRule="atLeast"/>
        <w:jc w:val="center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>
        <w:rPr>
          <w:rFonts w:ascii="pt_serifregular" w:eastAsia="Times New Roman" w:hAnsi="pt_serifregular" w:cs="Times New Roman"/>
          <w:color w:val="000000"/>
          <w:sz w:val="27"/>
          <w:szCs w:val="27"/>
        </w:rPr>
        <w:t>ПОЛОЖЕНИЕ</w:t>
      </w:r>
    </w:p>
    <w:p w:rsidR="0025727C" w:rsidRDefault="0025727C" w:rsidP="0025727C">
      <w:pPr>
        <w:shd w:val="clear" w:color="auto" w:fill="FFFFFF"/>
        <w:spacing w:after="0" w:line="360" w:lineRule="atLeast"/>
        <w:jc w:val="center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>
        <w:rPr>
          <w:rFonts w:ascii="pt_serifregular" w:eastAsia="Times New Roman" w:hAnsi="pt_serifregular" w:cs="Times New Roman" w:hint="eastAsia"/>
          <w:color w:val="000000"/>
          <w:sz w:val="27"/>
          <w:szCs w:val="27"/>
        </w:rPr>
        <w:t>об</w:t>
      </w:r>
      <w:r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оценке коррупционных рисков</w:t>
      </w:r>
    </w:p>
    <w:p w:rsidR="0025727C" w:rsidRDefault="0025727C" w:rsidP="0025727C">
      <w:pPr>
        <w:shd w:val="clear" w:color="auto" w:fill="FFFFFF"/>
        <w:spacing w:after="0" w:line="360" w:lineRule="atLeast"/>
        <w:rPr>
          <w:rFonts w:ascii="pt_serifregular" w:eastAsia="Times New Roman" w:hAnsi="pt_serifregular" w:cs="Times New Roman"/>
          <w:color w:val="333333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333333"/>
          <w:sz w:val="27"/>
          <w:szCs w:val="27"/>
        </w:rPr>
        <w:t> </w:t>
      </w:r>
    </w:p>
    <w:p w:rsidR="0011588E" w:rsidRDefault="0011588E" w:rsidP="0025727C">
      <w:pPr>
        <w:shd w:val="clear" w:color="auto" w:fill="FFFFFF"/>
        <w:spacing w:after="0" w:line="360" w:lineRule="atLeast"/>
        <w:rPr>
          <w:rFonts w:ascii="pt_serifregular" w:eastAsia="Times New Roman" w:hAnsi="pt_serifregular" w:cs="Times New Roman"/>
          <w:color w:val="333333"/>
          <w:sz w:val="27"/>
          <w:szCs w:val="27"/>
        </w:rPr>
      </w:pPr>
    </w:p>
    <w:p w:rsidR="0011588E" w:rsidRPr="0025727C" w:rsidRDefault="0011588E" w:rsidP="0025727C">
      <w:pPr>
        <w:shd w:val="clear" w:color="auto" w:fill="FFFFFF"/>
        <w:spacing w:after="0" w:line="360" w:lineRule="atLeast"/>
        <w:rPr>
          <w:rFonts w:ascii="pt_serifregular" w:eastAsia="Times New Roman" w:hAnsi="pt_serifregular" w:cs="Times New Roman"/>
          <w:color w:val="333333"/>
          <w:sz w:val="27"/>
          <w:szCs w:val="27"/>
        </w:rPr>
      </w:pPr>
    </w:p>
    <w:p w:rsidR="0025727C" w:rsidRPr="0025727C" w:rsidRDefault="0025727C" w:rsidP="001158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b/>
          <w:bCs/>
          <w:color w:val="000000"/>
          <w:sz w:val="27"/>
        </w:rPr>
        <w:t>Общие положения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1.1. Оценка коррупционных рисков является важнейшим элементом антикоррупц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ионной политики МОУ </w:t>
      </w:r>
      <w:r w:rsidR="0011588E">
        <w:rPr>
          <w:rFonts w:ascii="pt_serifregular" w:eastAsia="Times New Roman" w:hAnsi="pt_serifregular" w:cs="Times New Roman" w:hint="eastAsia"/>
          <w:color w:val="000000"/>
          <w:sz w:val="27"/>
          <w:szCs w:val="27"/>
        </w:rPr>
        <w:t>«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>Средняя школа № 10 имени А.С. Пушкина</w:t>
      </w:r>
      <w:r w:rsidR="0011588E">
        <w:rPr>
          <w:rFonts w:ascii="pt_serifregular" w:eastAsia="Times New Roman" w:hAnsi="pt_serifregular" w:cs="Times New Roman" w:hint="eastAsia"/>
          <w:color w:val="000000"/>
          <w:sz w:val="27"/>
          <w:szCs w:val="27"/>
        </w:rPr>
        <w:t>»</w:t>
      </w: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(далее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>кой Федерации</w:t>
      </w: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и других локальных актов Учреждения.</w:t>
      </w:r>
    </w:p>
    <w:p w:rsidR="0011588E" w:rsidRPr="0025727C" w:rsidRDefault="0011588E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</w:p>
    <w:p w:rsidR="0025727C" w:rsidRPr="0025727C" w:rsidRDefault="0025727C" w:rsidP="001158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b/>
          <w:bCs/>
          <w:color w:val="000000"/>
          <w:sz w:val="27"/>
        </w:rPr>
        <w:t>Порядок оценки коррупционных рисков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2.1.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</w:t>
      </w: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30 ноября.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2.2.  Оценку коррупционных рисков в деятельности Учреждения осуществляет Комиссия по соблюдению требований к служебному поведению и урегулированию конфликта интересов работников.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2.3. Этапы проведения оценки коррупционных рисков: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lastRenderedPageBreak/>
        <w:t>2.3.1.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</w:t>
      </w: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Провести анализ деятельности Учреждения, выделив:</w:t>
      </w:r>
    </w:p>
    <w:p w:rsidR="0025727C" w:rsidRPr="0025727C" w:rsidRDefault="0025727C" w:rsidP="002572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отдельные процессы;</w:t>
      </w:r>
    </w:p>
    <w:p w:rsidR="0025727C" w:rsidRPr="0025727C" w:rsidRDefault="0025727C" w:rsidP="0025727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составные элементы процессов (подпроцессы).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2.3.2.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</w:t>
      </w: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Выделить «критические точки» (элементы (подпроцессы), при реализации которых наиболее вероятно возникновение коррупционных правонарушений).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2.3.3. </w:t>
      </w:r>
      <w:proofErr w:type="gramStart"/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Составить для подпроцессов, реализация которых связана с коррупционным риском, описание возможных коррупци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>онных правонарушений, включающих</w:t>
      </w: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:</w:t>
      </w:r>
      <w:proofErr w:type="gramEnd"/>
    </w:p>
    <w:p w:rsidR="0025727C" w:rsidRPr="0025727C" w:rsidRDefault="0025727C" w:rsidP="002572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</w:t>
      </w:r>
    </w:p>
    <w:p w:rsidR="0025727C" w:rsidRPr="0025727C" w:rsidRDefault="0025727C" w:rsidP="002572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 w:rsidR="0025727C" w:rsidRPr="0025727C" w:rsidRDefault="0025727C" w:rsidP="0025727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2.3.4.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</w:t>
      </w: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Разработать на </w:t>
      </w:r>
      <w:proofErr w:type="gramStart"/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основании</w:t>
      </w:r>
      <w:proofErr w:type="gramEnd"/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проведенного анализа карту коррупционных рисков Учреждения (сводное описание «критических  точек» и возможных коррупционных  правонарушений).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2.3.5. Сформировать перечень должностей, связанных с высоким коррупционным риском.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2.3.6.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</w:t>
      </w: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25727C" w:rsidRPr="0025727C" w:rsidRDefault="0025727C" w:rsidP="002572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проведение обучающих мероприятий для работников Учреждения по вопросам противодействия коррупции;</w:t>
      </w:r>
    </w:p>
    <w:p w:rsidR="0025727C" w:rsidRPr="0025727C" w:rsidRDefault="0025727C" w:rsidP="002572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согласование с органом исполнительной государственной власти области, осуществляющим функции учредителя, решений по отдельным вопросам перед их принятием;</w:t>
      </w:r>
    </w:p>
    <w:p w:rsidR="0025727C" w:rsidRPr="0025727C" w:rsidRDefault="0025727C" w:rsidP="002572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создание форм отчетности по результатам принятых решений (например, </w:t>
      </w:r>
      <w:proofErr w:type="gramStart"/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ежегодный</w:t>
      </w:r>
      <w:proofErr w:type="gramEnd"/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отчет о деятельности, о реализации программы и т.д.);</w:t>
      </w:r>
    </w:p>
    <w:p w:rsidR="0025727C" w:rsidRPr="0025727C" w:rsidRDefault="0025727C" w:rsidP="002572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внедрение систем электронного взаимодействия с гражданами и организациями;</w:t>
      </w:r>
    </w:p>
    <w:p w:rsidR="0025727C" w:rsidRPr="0025727C" w:rsidRDefault="0025727C" w:rsidP="002572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осуществление внутреннего контроля за исполнением работниками Учреждения своих обязанностей (проверочные мероприятия на </w:t>
      </w:r>
      <w:proofErr w:type="gramStart"/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основании</w:t>
      </w:r>
      <w:proofErr w:type="gramEnd"/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поступившей информации о проявлениях коррупции);</w:t>
      </w:r>
    </w:p>
    <w:p w:rsidR="0025727C" w:rsidRPr="0025727C" w:rsidRDefault="0025727C" w:rsidP="002572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регламентация сроков и порядка реализации подпроцессов с повышенным уровнем коррупционной уязвимости;</w:t>
      </w:r>
    </w:p>
    <w:p w:rsidR="0025727C" w:rsidRDefault="0025727C" w:rsidP="0025727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11588E" w:rsidRPr="0025727C" w:rsidRDefault="0011588E" w:rsidP="0011588E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</w:p>
    <w:p w:rsidR="0025727C" w:rsidRPr="0025727C" w:rsidRDefault="0025727C" w:rsidP="0011588E">
      <w:pPr>
        <w:shd w:val="clear" w:color="auto" w:fill="FFFFFF"/>
        <w:spacing w:after="0" w:line="360" w:lineRule="atLeast"/>
        <w:jc w:val="center"/>
        <w:rPr>
          <w:rFonts w:ascii="pt_serifregular" w:eastAsia="Times New Roman" w:hAnsi="pt_serifregular" w:cs="Times New Roman"/>
          <w:color w:val="333333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b/>
          <w:bCs/>
          <w:color w:val="333333"/>
          <w:sz w:val="27"/>
        </w:rPr>
        <w:t>3.Карта коррупционных рисков</w:t>
      </w:r>
    </w:p>
    <w:p w:rsidR="0025727C" w:rsidRPr="0025727C" w:rsidRDefault="0025727C" w:rsidP="0025727C">
      <w:pPr>
        <w:shd w:val="clear" w:color="auto" w:fill="FFFFFF"/>
        <w:spacing w:after="0" w:line="360" w:lineRule="atLeast"/>
        <w:rPr>
          <w:rFonts w:ascii="pt_serifregular" w:eastAsia="Times New Roman" w:hAnsi="pt_serifregular" w:cs="Times New Roman"/>
          <w:color w:val="333333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b/>
          <w:bCs/>
          <w:color w:val="333333"/>
          <w:sz w:val="27"/>
        </w:rPr>
        <w:t> 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3.1. Карта коррупционных рисков (далее – Карта) содержит:</w:t>
      </w:r>
    </w:p>
    <w:p w:rsidR="0025727C" w:rsidRPr="0025727C" w:rsidRDefault="0025727C" w:rsidP="002572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25727C" w:rsidRPr="0025727C" w:rsidRDefault="0025727C" w:rsidP="002572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lastRenderedPageBreak/>
        <w:t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25727C" w:rsidRPr="0025727C" w:rsidRDefault="0025727C" w:rsidP="002572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25727C" w:rsidRPr="0025727C" w:rsidRDefault="0025727C" w:rsidP="0025727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меры по устранению или минимизации коррупционно-опасных функций.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3.2</w:t>
      </w:r>
      <w:r w:rsidR="0011588E">
        <w:rPr>
          <w:rFonts w:ascii="pt_serifregular" w:eastAsia="Times New Roman" w:hAnsi="pt_serifregular" w:cs="Times New Roman"/>
          <w:color w:val="000000"/>
          <w:sz w:val="27"/>
          <w:szCs w:val="27"/>
        </w:rPr>
        <w:t>. Карта утверждается директором</w:t>
      </w: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 xml:space="preserve"> Учреждения.</w:t>
      </w:r>
    </w:p>
    <w:p w:rsidR="0025727C" w:rsidRPr="0025727C" w:rsidRDefault="0025727C" w:rsidP="0025727C">
      <w:pPr>
        <w:shd w:val="clear" w:color="auto" w:fill="FFFFFF"/>
        <w:spacing w:after="0" w:line="240" w:lineRule="auto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3.3. Карта подлежит изменению:</w:t>
      </w:r>
    </w:p>
    <w:p w:rsidR="0025727C" w:rsidRPr="0025727C" w:rsidRDefault="0025727C" w:rsidP="002572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по результатам ежегодного проведения оценки коррупционных рисков в Учреждении;</w:t>
      </w:r>
    </w:p>
    <w:p w:rsidR="0025727C" w:rsidRPr="0025727C" w:rsidRDefault="0025727C" w:rsidP="002572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25727C" w:rsidRPr="0025727C" w:rsidRDefault="0025727C" w:rsidP="0025727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_serifregular" w:eastAsia="Times New Roman" w:hAnsi="pt_serifregular" w:cs="Times New Roman"/>
          <w:color w:val="000000"/>
          <w:sz w:val="27"/>
          <w:szCs w:val="27"/>
        </w:rPr>
      </w:pPr>
      <w:r w:rsidRPr="0025727C">
        <w:rPr>
          <w:rFonts w:ascii="pt_serifregular" w:eastAsia="Times New Roman" w:hAnsi="pt_serifregular" w:cs="Times New Roman"/>
          <w:color w:val="000000"/>
          <w:sz w:val="27"/>
          <w:szCs w:val="27"/>
        </w:rPr>
        <w:t>в случае выявления фактов коррупции в Учреждении.</w:t>
      </w:r>
    </w:p>
    <w:p w:rsidR="00C2700C" w:rsidRDefault="00C2700C"/>
    <w:sectPr w:rsidR="00C2700C" w:rsidSect="0023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_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F97"/>
    <w:multiLevelType w:val="multilevel"/>
    <w:tmpl w:val="225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70DBE"/>
    <w:multiLevelType w:val="multilevel"/>
    <w:tmpl w:val="1040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850B9"/>
    <w:multiLevelType w:val="multilevel"/>
    <w:tmpl w:val="FBD27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51BCA"/>
    <w:multiLevelType w:val="multilevel"/>
    <w:tmpl w:val="884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C5016"/>
    <w:multiLevelType w:val="multilevel"/>
    <w:tmpl w:val="6822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94C61"/>
    <w:multiLevelType w:val="multilevel"/>
    <w:tmpl w:val="BD3A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D751A"/>
    <w:multiLevelType w:val="multilevel"/>
    <w:tmpl w:val="4FA4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27C"/>
    <w:rsid w:val="000A69F2"/>
    <w:rsid w:val="0011588E"/>
    <w:rsid w:val="002377C8"/>
    <w:rsid w:val="0025727C"/>
    <w:rsid w:val="0035365F"/>
    <w:rsid w:val="00C2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C8"/>
  </w:style>
  <w:style w:type="paragraph" w:styleId="3">
    <w:name w:val="heading 3"/>
    <w:basedOn w:val="a"/>
    <w:link w:val="30"/>
    <w:qFormat/>
    <w:rsid w:val="00115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27C"/>
    <w:rPr>
      <w:b/>
      <w:bCs/>
    </w:rPr>
  </w:style>
  <w:style w:type="paragraph" w:styleId="a4">
    <w:name w:val="Normal (Web)"/>
    <w:basedOn w:val="a"/>
    <w:uiPriority w:val="99"/>
    <w:semiHidden/>
    <w:unhideWhenUsed/>
    <w:rsid w:val="0025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15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Знак Знак Знак Знак Знак Знак Знак"/>
    <w:basedOn w:val="a"/>
    <w:rsid w:val="001158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2023-12-23T10:46:00Z</dcterms:created>
  <dcterms:modified xsi:type="dcterms:W3CDTF">2023-12-23T13:09:00Z</dcterms:modified>
</cp:coreProperties>
</file>